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KATA PENGANTAR</w:t>
      </w:r>
    </w:p>
    <w:p w:rsidR="00000000" w:rsidDel="00000000" w:rsidP="00000000" w:rsidRDefault="00000000" w:rsidRPr="00000000" w14:paraId="00000002">
      <w:pPr>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3">
      <w:pPr>
        <w:spacing w:after="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Dengan memanjatkan puji syukur kepada Tuhan Yang Maha Kuasa, Kami atas nama Dinas XXX yang berada di lingkup Pemerintah Kabupaten Sidoarjo menyajikan Laporan Keuangan Dinas XXX Tahun 2023, sebagaimana diamanatkan dalam Undang-Undang Nomor 17 Tahun 2003 tentang Keuangan Negara, Peraturan Pemerintah Nomor 12 Tahun 2019 tentang Pengelolaan Keuangan Daerah, Peraturan Pemerintah Nomor 71 Tahun 2010 tentang Standar Akuntansi Pemerintahan, Peraturan Daerah Nomor 4 Tahun 2007 tentang Pokok-Pokok Pengelolaan Keuangan Kabupaten Sidoarjo.</w:t>
      </w:r>
    </w:p>
    <w:p w:rsidR="00000000" w:rsidDel="00000000" w:rsidP="00000000" w:rsidRDefault="00000000" w:rsidRPr="00000000" w14:paraId="00000004">
      <w:pPr>
        <w:spacing w:after="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5">
      <w:pPr>
        <w:spacing w:after="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Sebagaimana diamanatkan Undang-Undang Nomor 17 Tahun 2003 tentang Keuangan Negara, Peraturan Pemerintah Nomor 12 Tahun 2019 Pasal 189 sampai dengan Pasal 193, serta Peraturan Menteri Dalam Negeri Nomor 77 Tahun 2020. Pelaporan keuangan Pemerintah Daerah merupakan proses penyusunan dan penyajian laporan keuangan Pemerintah Daerah oleh entitas pelaporan sebagai hasil konsolidasi atas laporan keuangan Satuan Kerja Perangkat Daerah (SKPD) selaku entitas akuntansi. Laporan keuangan SKPD disusun dan disajikan oleh kepala SKPD selaku Pengguna Anggaran (PA) sebagai entitas akuntansi yang paling sedikit meliputi :</w:t>
      </w:r>
    </w:p>
    <w:p w:rsidR="00000000" w:rsidDel="00000000" w:rsidP="00000000" w:rsidRDefault="00000000" w:rsidRPr="00000000" w14:paraId="00000006">
      <w:pPr>
        <w:numPr>
          <w:ilvl w:val="0"/>
          <w:numId w:val="1"/>
        </w:numPr>
        <w:spacing w:after="0" w:lineRule="auto"/>
        <w:ind w:left="720" w:hanging="360"/>
        <w:jc w:val="both"/>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Laporan Realisasi Anggaran (LRA)</w:t>
      </w:r>
    </w:p>
    <w:p w:rsidR="00000000" w:rsidDel="00000000" w:rsidP="00000000" w:rsidRDefault="00000000" w:rsidRPr="00000000" w14:paraId="00000007">
      <w:pPr>
        <w:numPr>
          <w:ilvl w:val="0"/>
          <w:numId w:val="1"/>
        </w:numPr>
        <w:spacing w:after="0" w:lineRule="auto"/>
        <w:ind w:left="720" w:hanging="360"/>
        <w:jc w:val="both"/>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Neraca</w:t>
      </w:r>
    </w:p>
    <w:p w:rsidR="00000000" w:rsidDel="00000000" w:rsidP="00000000" w:rsidRDefault="00000000" w:rsidRPr="00000000" w14:paraId="00000008">
      <w:pPr>
        <w:numPr>
          <w:ilvl w:val="0"/>
          <w:numId w:val="1"/>
        </w:numPr>
        <w:spacing w:after="0" w:lineRule="auto"/>
        <w:ind w:left="720" w:hanging="360"/>
        <w:jc w:val="both"/>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Laporan Operasional</w:t>
      </w:r>
    </w:p>
    <w:p w:rsidR="00000000" w:rsidDel="00000000" w:rsidP="00000000" w:rsidRDefault="00000000" w:rsidRPr="00000000" w14:paraId="00000009">
      <w:pPr>
        <w:numPr>
          <w:ilvl w:val="0"/>
          <w:numId w:val="1"/>
        </w:numPr>
        <w:spacing w:after="0" w:lineRule="auto"/>
        <w:ind w:left="720" w:hanging="360"/>
        <w:jc w:val="both"/>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Laporan Perubahan Ekuitas, dan</w:t>
      </w:r>
    </w:p>
    <w:p w:rsidR="00000000" w:rsidDel="00000000" w:rsidP="00000000" w:rsidRDefault="00000000" w:rsidRPr="00000000" w14:paraId="0000000A">
      <w:pPr>
        <w:numPr>
          <w:ilvl w:val="0"/>
          <w:numId w:val="1"/>
        </w:numPr>
        <w:spacing w:after="0" w:lineRule="auto"/>
        <w:ind w:left="720" w:hanging="360"/>
        <w:jc w:val="both"/>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Catatan atas Laporan Keuangan</w:t>
      </w:r>
    </w:p>
    <w:p w:rsidR="00000000" w:rsidDel="00000000" w:rsidP="00000000" w:rsidRDefault="00000000" w:rsidRPr="00000000" w14:paraId="0000000B">
      <w:pPr>
        <w:spacing w:after="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C">
      <w:pPr>
        <w:spacing w:after="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Penyusunan Laporan Keuangan Tahun 2023 Dinas XXX Pemerintah Kabupaten Sidoarjo mengacu pada Peraturan Pemerintah Nomor 71 Tahun 2010 tentang Standar Akuntansi Pemerintahan, dan berdasarkan kaidah-kaidah pengelolaan keuangan yang sehat dalam pemerintahan. Laporan keuangan ini telah disusun dan disajikan dengan basis akrual sehingga menyajikan informasi keuangan yang lengkap dan akuntabel.</w:t>
      </w:r>
    </w:p>
    <w:p w:rsidR="00000000" w:rsidDel="00000000" w:rsidP="00000000" w:rsidRDefault="00000000" w:rsidRPr="00000000" w14:paraId="0000000D">
      <w:pPr>
        <w:spacing w:after="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E">
      <w:pPr>
        <w:spacing w:after="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Laporan Keuangan Tahun 2023 Dinas XXX Kabupaten Sidoarjo ini diharapkan dapat memberikan informasi yang berguna kepada para pemakai laporan, khususnya sebagai sarana untuk meningkatkan akuntabilitas/pertanggungjawaban dan transparansi pengelolaan keuangan negara pada Pemerintah Kabupaten Sidoarjo. Disamping itu, laporan keuangan ini juga dimaksudkan untuk memberikan informasi kepada pemerintah daerah dalam pengambilan keputusan dalam pengelolaan Kabupaten Sidoarjo untuk mewujudkan tata kelola pemerintahan yang baik (</w:t>
      </w:r>
      <w:r w:rsidDel="00000000" w:rsidR="00000000" w:rsidRPr="00000000">
        <w:rPr>
          <w:rFonts w:ascii="Times New Roman" w:cs="Times New Roman" w:eastAsia="Times New Roman" w:hAnsi="Times New Roman"/>
          <w:i w:val="1"/>
          <w:rtl w:val="0"/>
        </w:rPr>
        <w:t xml:space="preserve">Good Corporate Governance</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0F">
      <w:pPr>
        <w:spacing w:after="0" w:lineRule="auto"/>
        <w:jc w:val="both"/>
        <w:rPr>
          <w:rFonts w:ascii="Arial Nova Cond" w:cs="Arial Nova Cond" w:eastAsia="Arial Nova Cond" w:hAnsi="Arial Nova Cond"/>
          <w:sz w:val="24"/>
          <w:szCs w:val="24"/>
        </w:rPr>
      </w:pPr>
      <w:r w:rsidDel="00000000" w:rsidR="00000000" w:rsidRPr="00000000">
        <w:rPr>
          <w:rFonts w:ascii="Arial Nova Cond" w:cs="Arial Nova Cond" w:eastAsia="Arial Nova Cond" w:hAnsi="Arial Nova Cond"/>
          <w:sz w:val="24"/>
          <w:szCs w:val="24"/>
          <w:rtl w:val="0"/>
        </w:rPr>
        <w:t xml:space="preserve"> </w:t>
      </w:r>
    </w:p>
    <w:p w:rsidR="00000000" w:rsidDel="00000000" w:rsidP="00000000" w:rsidRDefault="00000000" w:rsidRPr="00000000" w14:paraId="00000010">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rtl w:val="0"/>
        </w:rPr>
        <w:t xml:space="preserve">Dinas XXX Pemerintah Kabupaten Sidoarjo menyampaikan permohonan maaf apabila dalam penyampaian Laporan Keuangan ini masih terdapat kekurangan, untuk itu tetap mengharapkan tanggapan, saran, maupun kritik yang membangun dari para pengguna (</w:t>
      </w:r>
      <w:r w:rsidDel="00000000" w:rsidR="00000000" w:rsidRPr="00000000">
        <w:rPr>
          <w:rFonts w:ascii="Times New Roman" w:cs="Times New Roman" w:eastAsia="Times New Roman" w:hAnsi="Times New Roman"/>
          <w:i w:val="1"/>
          <w:rtl w:val="0"/>
        </w:rPr>
        <w:t xml:space="preserve">stakeholders</w:t>
      </w:r>
      <w:r w:rsidDel="00000000" w:rsidR="00000000" w:rsidRPr="00000000">
        <w:rPr>
          <w:rFonts w:ascii="Times New Roman" w:cs="Times New Roman" w:eastAsia="Times New Roman" w:hAnsi="Times New Roman"/>
          <w:rtl w:val="0"/>
        </w:rPr>
        <w:t xml:space="preserve">) laporan keuangan ini. Pemerintah Kabupaten Sidoarjo akan terus-menerus berupaya untuk menyusun dan menyajikan Laporan Keuangan yang tepat waktu dan akurat sehingga terwujud Sistem Tata Kelola Pemerintahan yang Baik (</w:t>
      </w:r>
      <w:r w:rsidDel="00000000" w:rsidR="00000000" w:rsidRPr="00000000">
        <w:rPr>
          <w:rFonts w:ascii="Times New Roman" w:cs="Times New Roman" w:eastAsia="Times New Roman" w:hAnsi="Times New Roman"/>
          <w:i w:val="1"/>
          <w:rtl w:val="0"/>
        </w:rPr>
        <w:t xml:space="preserve">Good Governance</w:t>
      </w:r>
      <w:r w:rsidDel="00000000" w:rsidR="00000000" w:rsidRPr="00000000">
        <w:rPr>
          <w:rFonts w:ascii="Times New Roman" w:cs="Times New Roman" w:eastAsia="Times New Roman" w:hAnsi="Times New Roman"/>
          <w:rtl w:val="0"/>
        </w:rPr>
        <w:t xml:space="preserve">).</w:t>
      </w:r>
      <w:r w:rsidDel="00000000" w:rsidR="00000000" w:rsidRPr="00000000">
        <w:rPr>
          <w:rtl w:val="0"/>
        </w:rPr>
      </w:r>
    </w:p>
    <w:p w:rsidR="00000000" w:rsidDel="00000000" w:rsidP="00000000" w:rsidRDefault="00000000" w:rsidRPr="00000000" w14:paraId="00000011">
      <w:pPr>
        <w:spacing w:after="0" w:lineRule="auto"/>
        <w:jc w:val="left"/>
        <w:rPr>
          <w:rFonts w:ascii="Arial Nova Cond" w:cs="Arial Nova Cond" w:eastAsia="Arial Nova Cond" w:hAnsi="Arial Nova Cond"/>
          <w:sz w:val="24"/>
          <w:szCs w:val="24"/>
        </w:rPr>
      </w:pPr>
      <w:r w:rsidDel="00000000" w:rsidR="00000000" w:rsidRPr="00000000">
        <w:rPr>
          <w:rtl w:val="0"/>
        </w:rPr>
      </w:r>
    </w:p>
    <w:p w:rsidR="00000000" w:rsidDel="00000000" w:rsidP="00000000" w:rsidRDefault="00000000" w:rsidRPr="00000000" w14:paraId="00000012">
      <w:pPr>
        <w:spacing w:after="0" w:lineRule="auto"/>
        <w:jc w:val="right"/>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3">
      <w:pPr>
        <w:spacing w:after="0" w:lineRule="auto"/>
        <w:ind w:right="116" w:firstLine="6660"/>
        <w:jc w:val="righ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KEPALA DINAS XXX</w:t>
      </w:r>
    </w:p>
    <w:p w:rsidR="00000000" w:rsidDel="00000000" w:rsidP="00000000" w:rsidRDefault="00000000" w:rsidRPr="00000000" w14:paraId="00000014">
      <w:pPr>
        <w:spacing w:after="0" w:lineRule="auto"/>
        <w:ind w:right="116" w:firstLine="6660"/>
        <w:jc w:val="right"/>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5">
      <w:pPr>
        <w:spacing w:after="0" w:lineRule="auto"/>
        <w:ind w:left="0" w:right="116" w:firstLine="0"/>
        <w:jc w:val="left"/>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6">
      <w:pPr>
        <w:spacing w:after="0" w:lineRule="auto"/>
        <w:ind w:left="0" w:right="116" w:firstLine="0"/>
        <w:jc w:val="left"/>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7">
      <w:pPr>
        <w:spacing w:after="0" w:lineRule="auto"/>
        <w:ind w:right="116" w:firstLine="6660"/>
        <w:jc w:val="right"/>
        <w:rPr>
          <w:rFonts w:ascii="Times New Roman" w:cs="Times New Roman" w:eastAsia="Times New Roman" w:hAnsi="Times New Roman"/>
          <w:b w:val="1"/>
        </w:rPr>
        <w:sectPr>
          <w:pgSz w:h="16838" w:w="11906" w:orient="portrait"/>
          <w:pgMar w:bottom="1440" w:top="1440" w:left="1440" w:right="1440" w:header="720" w:footer="720"/>
          <w:pgNumType w:start="1"/>
        </w:sectPr>
      </w:pPr>
      <w:r w:rsidDel="00000000" w:rsidR="00000000" w:rsidRPr="00000000">
        <w:rPr>
          <w:rFonts w:ascii="Times New Roman" w:cs="Times New Roman" w:eastAsia="Times New Roman" w:hAnsi="Times New Roman"/>
          <w:b w:val="1"/>
          <w:rtl w:val="0"/>
        </w:rPr>
        <w:t xml:space="preserve">NAMA KEPALA </w:t>
      </w:r>
    </w:p>
    <w:p w:rsidR="00000000" w:rsidDel="00000000" w:rsidP="00000000" w:rsidRDefault="00000000" w:rsidRPr="00000000" w14:paraId="00000018">
      <w:pPr>
        <w:jc w:val="center"/>
        <w:rPr>
          <w:sz w:val="20"/>
          <w:szCs w:val="20"/>
        </w:rPr>
      </w:pPr>
      <w:r w:rsidDel="00000000" w:rsidR="00000000" w:rsidRPr="00000000">
        <w:rPr>
          <w:sz w:val="20"/>
          <w:szCs w:val="20"/>
        </w:rPr>
        <mc:AlternateContent>
          <mc:Choice Requires="wpg">
            <w:drawing>
              <wp:inline distB="0" distT="0" distL="0" distR="0">
                <wp:extent cx="5731200" cy="431800"/>
                <wp:effectExtent b="0" l="0" r="0" t="0"/>
                <wp:docPr id="1" name=""/>
                <a:graphic>
                  <a:graphicData uri="http://schemas.microsoft.com/office/word/2010/wordprocessingShape">
                    <wps:wsp>
                      <wps:cNvSpPr/>
                      <wps:cNvPr id="2" name="Shape 2"/>
                      <wps:spPr>
                        <a:xfrm>
                          <a:off x="2480245" y="3566739"/>
                          <a:ext cx="5731510" cy="426522"/>
                        </a:xfrm>
                        <a:prstGeom prst="rect">
                          <a:avLst/>
                        </a:prstGeom>
                        <a:solidFill>
                          <a:srgbClr val="92D050"/>
                        </a:solidFill>
                        <a:ln>
                          <a:noFill/>
                        </a:ln>
                      </wps:spPr>
                      <wps:txbx>
                        <w:txbxContent>
                          <w:p w:rsidR="00000000" w:rsidDel="00000000" w:rsidP="00000000" w:rsidRDefault="00000000" w:rsidRPr="00000000">
                            <w:pPr>
                              <w:spacing w:after="160" w:before="141.99999809265137" w:line="258.99999618530273"/>
                              <w:ind w:left="0" w:right="113.00000190734863" w:firstLine="0"/>
                              <w:jc w:val="center"/>
                              <w:textDirection w:val="btLr"/>
                            </w:pPr>
                            <w:r w:rsidDel="00000000" w:rsidR="00000000" w:rsidRPr="00000000">
                              <w:rPr>
                                <w:rFonts w:ascii="Times New Roman" w:cs="Times New Roman" w:eastAsia="Times New Roman" w:hAnsi="Times New Roman"/>
                                <w:b w:val="1"/>
                                <w:i w:val="0"/>
                                <w:smallCaps w:val="0"/>
                                <w:strike w:val="0"/>
                                <w:color w:val="000000"/>
                                <w:sz w:val="40"/>
                                <w:vertAlign w:val="baseline"/>
                              </w:rPr>
                              <w:t xml:space="preserve">RINGKASAN</w:t>
                            </w:r>
                          </w:p>
                        </w:txbxContent>
                      </wps:txbx>
                      <wps:bodyPr anchorCtr="0" anchor="t" bIns="0" lIns="0" spcFirstLastPara="1" rIns="0" wrap="square" tIns="0">
                        <a:noAutofit/>
                      </wps:bodyPr>
                    </wps:wsp>
                  </a:graphicData>
                </a:graphic>
              </wp:inline>
            </w:drawing>
          </mc:Choice>
          <mc:Fallback>
            <w:drawing>
              <wp:inline distB="0" distT="0" distL="0" distR="0">
                <wp:extent cx="5731200" cy="431800"/>
                <wp:effectExtent b="0" l="0" r="0" t="0"/>
                <wp:docPr id="1"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5731200" cy="43180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19">
      <w:pPr>
        <w:spacing w:after="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A">
      <w:pPr>
        <w:spacing w:after="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Sesuai dengan Peraturan Pemerintah Nomor 71 Tahun 2010 tentang Standar Akuntansi Pemerintahan, Laporan Keuangan Pokok Satuan Kerja Perangkat Daerah (SKPD) terdiri dari Laporan Realisasi Anggaran, Neraca, Laporan Operasional, Laporan Perubahan Ekuitas, dan Catatan atas Laporan Keuangan. Selain itu, Laporan Keuangan Dinas XXX Kabupaten Sidoarjo Tahun 2023 ini juga menginformasikan upaya-upaya yang telah dilakukan oleh Pemerintah Kabupaten Sidoarjo, khususnya Dinas XXX untuk menindaklanjuti temuan pemeriksaan BPK. </w:t>
      </w:r>
    </w:p>
    <w:p w:rsidR="00000000" w:rsidDel="00000000" w:rsidP="00000000" w:rsidRDefault="00000000" w:rsidRPr="00000000" w14:paraId="0000001B">
      <w:pPr>
        <w:spacing w:after="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C">
      <w:pPr>
        <w:spacing w:after="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Laporan Keuangan Dinas XXX Pemerintah Daerah Sidoarjo Tahun 2023 merupakan gabungan laporan keuangan entitas pelaporan dan entitas akuntansi yang ada di wilayah Pemerintah Kabupaten Sidoarjo sehingga menyajikan informasi keuangan pada pengelolaan Pemerintah Daerah Kabupaten Sidoarjo. Berikut adalah ringkasan Laporan Keuangan Dinas XXX Pemerintah Daerah Kabupaten Sidoarjo Tahun 2023.</w:t>
      </w:r>
    </w:p>
    <w:p w:rsidR="00000000" w:rsidDel="00000000" w:rsidP="00000000" w:rsidRDefault="00000000" w:rsidRPr="00000000" w14:paraId="0000001D">
      <w:pPr>
        <w:spacing w:after="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E">
      <w:pPr>
        <w:numPr>
          <w:ilvl w:val="0"/>
          <w:numId w:val="2"/>
        </w:numPr>
        <w:spacing w:after="0" w:line="360" w:lineRule="auto"/>
        <w:ind w:left="426" w:hanging="284"/>
        <w:jc w:val="both"/>
        <w:rPr>
          <w:b w:val="1"/>
        </w:rPr>
      </w:pPr>
      <w:r w:rsidDel="00000000" w:rsidR="00000000" w:rsidRPr="00000000">
        <w:rPr>
          <w:rFonts w:ascii="Times New Roman" w:cs="Times New Roman" w:eastAsia="Times New Roman" w:hAnsi="Times New Roman"/>
          <w:b w:val="1"/>
          <w:rtl w:val="0"/>
        </w:rPr>
        <w:t xml:space="preserve">Laporan Realisasi Anggaran</w:t>
      </w:r>
    </w:p>
    <w:p w:rsidR="00000000" w:rsidDel="00000000" w:rsidP="00000000" w:rsidRDefault="00000000" w:rsidRPr="00000000" w14:paraId="0000001F">
      <w:pPr>
        <w:spacing w:after="0" w:lineRule="auto"/>
        <w:ind w:left="426"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Laporan Realisasi Anggaran Dinas XXX menggambarkan perbandingan antara Anggaran Tahun 2023 dengan Realisasinya.</w:t>
      </w:r>
    </w:p>
    <w:p w:rsidR="00000000" w:rsidDel="00000000" w:rsidP="00000000" w:rsidRDefault="00000000" w:rsidRPr="00000000" w14:paraId="00000020">
      <w:pPr>
        <w:spacing w:after="0" w:lineRule="auto"/>
        <w:ind w:left="426"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1">
      <w:pPr>
        <w:spacing w:after="0" w:lineRule="auto"/>
        <w:ind w:left="426"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[Copy Kalimat Redaksional dari Buku CaLK Ringkasan bagian LRA]</w:t>
      </w:r>
    </w:p>
    <w:p w:rsidR="00000000" w:rsidDel="00000000" w:rsidP="00000000" w:rsidRDefault="00000000" w:rsidRPr="00000000" w14:paraId="00000022">
      <w:pPr>
        <w:spacing w:after="0" w:lineRule="auto"/>
        <w:ind w:left="426" w:firstLine="0"/>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3">
      <w:pPr>
        <w:numPr>
          <w:ilvl w:val="0"/>
          <w:numId w:val="2"/>
        </w:numPr>
        <w:spacing w:after="0" w:line="360" w:lineRule="auto"/>
        <w:ind w:left="426" w:hanging="284"/>
        <w:jc w:val="both"/>
        <w:rPr>
          <w:rFonts w:ascii="Times New Roman" w:cs="Times New Roman" w:eastAsia="Times New Roman" w:hAnsi="Times New Roman"/>
          <w:b w:val="1"/>
          <w:u w:val="none"/>
        </w:rPr>
      </w:pPr>
      <w:r w:rsidDel="00000000" w:rsidR="00000000" w:rsidRPr="00000000">
        <w:rPr>
          <w:rFonts w:ascii="Times New Roman" w:cs="Times New Roman" w:eastAsia="Times New Roman" w:hAnsi="Times New Roman"/>
          <w:b w:val="1"/>
          <w:rtl w:val="0"/>
        </w:rPr>
        <w:t xml:space="preserve">Neraca</w:t>
      </w:r>
    </w:p>
    <w:p w:rsidR="00000000" w:rsidDel="00000000" w:rsidP="00000000" w:rsidRDefault="00000000" w:rsidRPr="00000000" w14:paraId="00000024">
      <w:pPr>
        <w:spacing w:after="0" w:lineRule="auto"/>
        <w:ind w:left="426"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Neraca, menyajikan informasi tentang posisi Aset, Kewajiban, dan Ekuitas Dinas XXX per 31 Desember 2023.</w:t>
      </w:r>
    </w:p>
    <w:p w:rsidR="00000000" w:rsidDel="00000000" w:rsidP="00000000" w:rsidRDefault="00000000" w:rsidRPr="00000000" w14:paraId="00000025">
      <w:pPr>
        <w:spacing w:after="0" w:lineRule="auto"/>
        <w:ind w:left="426"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6">
      <w:pPr>
        <w:spacing w:after="0" w:lineRule="auto"/>
        <w:ind w:left="426"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[Copy Kalimat Redaksional dari Buku CaLK Ringkasan bagian Neraca]</w:t>
      </w:r>
    </w:p>
    <w:p w:rsidR="00000000" w:rsidDel="00000000" w:rsidP="00000000" w:rsidRDefault="00000000" w:rsidRPr="00000000" w14:paraId="00000027">
      <w:pPr>
        <w:spacing w:after="0" w:line="360" w:lineRule="auto"/>
        <w:ind w:left="720" w:firstLine="0"/>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28">
      <w:pPr>
        <w:numPr>
          <w:ilvl w:val="0"/>
          <w:numId w:val="2"/>
        </w:numPr>
        <w:spacing w:after="0" w:line="360" w:lineRule="auto"/>
        <w:ind w:left="426" w:hanging="284"/>
        <w:jc w:val="both"/>
        <w:rPr>
          <w:rFonts w:ascii="Times New Roman" w:cs="Times New Roman" w:eastAsia="Times New Roman" w:hAnsi="Times New Roman"/>
          <w:b w:val="1"/>
          <w:u w:val="none"/>
        </w:rPr>
      </w:pPr>
      <w:r w:rsidDel="00000000" w:rsidR="00000000" w:rsidRPr="00000000">
        <w:rPr>
          <w:rFonts w:ascii="Times New Roman" w:cs="Times New Roman" w:eastAsia="Times New Roman" w:hAnsi="Times New Roman"/>
          <w:b w:val="1"/>
          <w:rtl w:val="0"/>
        </w:rPr>
        <w:t xml:space="preserve">Laporan Operasional</w:t>
      </w:r>
    </w:p>
    <w:p w:rsidR="00000000" w:rsidDel="00000000" w:rsidP="00000000" w:rsidRDefault="00000000" w:rsidRPr="00000000" w14:paraId="00000029">
      <w:pPr>
        <w:spacing w:after="0" w:lineRule="auto"/>
        <w:ind w:left="426"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Laporan Operasional, menyediakan informasi mengenai seluruh kegiatan operasional keuangan yang tercerminkan dalam pendapatan-LO, beban, dan surplus/defisit operasional.</w:t>
      </w:r>
    </w:p>
    <w:p w:rsidR="00000000" w:rsidDel="00000000" w:rsidP="00000000" w:rsidRDefault="00000000" w:rsidRPr="00000000" w14:paraId="0000002A">
      <w:pPr>
        <w:spacing w:after="0" w:lineRule="auto"/>
        <w:ind w:left="426"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B">
      <w:pPr>
        <w:spacing w:after="0" w:lineRule="auto"/>
        <w:ind w:left="426"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[Copy Kalimat Redaksional dari Buku CaLK Ringkasan bagian Laporan Operasional]</w:t>
      </w:r>
    </w:p>
    <w:p w:rsidR="00000000" w:rsidDel="00000000" w:rsidP="00000000" w:rsidRDefault="00000000" w:rsidRPr="00000000" w14:paraId="0000002C">
      <w:pPr>
        <w:spacing w:after="0" w:lineRule="auto"/>
        <w:ind w:left="426" w:firstLine="0"/>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D">
      <w:pPr>
        <w:numPr>
          <w:ilvl w:val="0"/>
          <w:numId w:val="2"/>
        </w:numPr>
        <w:spacing w:after="0" w:line="360" w:lineRule="auto"/>
        <w:ind w:left="426" w:hanging="284"/>
        <w:jc w:val="both"/>
        <w:rPr>
          <w:rFonts w:ascii="Times New Roman" w:cs="Times New Roman" w:eastAsia="Times New Roman" w:hAnsi="Times New Roman"/>
          <w:b w:val="1"/>
          <w:u w:val="none"/>
        </w:rPr>
      </w:pPr>
      <w:r w:rsidDel="00000000" w:rsidR="00000000" w:rsidRPr="00000000">
        <w:rPr>
          <w:rFonts w:ascii="Times New Roman" w:cs="Times New Roman" w:eastAsia="Times New Roman" w:hAnsi="Times New Roman"/>
          <w:b w:val="1"/>
          <w:rtl w:val="0"/>
        </w:rPr>
        <w:t xml:space="preserve">Laporan Perubahan Ekuitas</w:t>
      </w:r>
    </w:p>
    <w:p w:rsidR="00000000" w:rsidDel="00000000" w:rsidP="00000000" w:rsidRDefault="00000000" w:rsidRPr="00000000" w14:paraId="0000002E">
      <w:pPr>
        <w:spacing w:after="0" w:lineRule="auto"/>
        <w:ind w:left="426"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Laporan Perubahan Ekuitas, menyajikan informasi kenaikan atau penurunan ekuitas Tahun pelaporan.</w:t>
      </w:r>
    </w:p>
    <w:p w:rsidR="00000000" w:rsidDel="00000000" w:rsidP="00000000" w:rsidRDefault="00000000" w:rsidRPr="00000000" w14:paraId="0000002F">
      <w:pPr>
        <w:spacing w:after="0" w:lineRule="auto"/>
        <w:ind w:left="426"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0">
      <w:pPr>
        <w:spacing w:after="0" w:lineRule="auto"/>
        <w:ind w:left="426"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[Copy Kalimat Redaksional dari Buku CaLK Ringkasan bagian Laporan Perubahan Ekuitas]</w:t>
      </w:r>
    </w:p>
    <w:p w:rsidR="00000000" w:rsidDel="00000000" w:rsidP="00000000" w:rsidRDefault="00000000" w:rsidRPr="00000000" w14:paraId="00000031">
      <w:pPr>
        <w:spacing w:after="0" w:lineRule="auto"/>
        <w:ind w:left="426" w:firstLine="0"/>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2">
      <w:pPr>
        <w:spacing w:after="0" w:lineRule="auto"/>
        <w:ind w:left="426" w:firstLine="0"/>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3">
      <w:pPr>
        <w:spacing w:after="0" w:lineRule="auto"/>
        <w:ind w:left="426" w:firstLine="0"/>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4">
      <w:pPr>
        <w:spacing w:after="0" w:lineRule="auto"/>
        <w:ind w:left="426" w:firstLine="0"/>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5">
      <w:pPr>
        <w:spacing w:after="0" w:lineRule="auto"/>
        <w:ind w:left="426" w:firstLine="0"/>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6">
      <w:pPr>
        <w:spacing w:after="0" w:lineRule="auto"/>
        <w:ind w:left="426" w:firstLine="0"/>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7">
      <w:pPr>
        <w:spacing w:after="0" w:lineRule="auto"/>
        <w:ind w:left="426" w:firstLine="0"/>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8">
      <w:pPr>
        <w:spacing w:after="0" w:lineRule="auto"/>
        <w:ind w:left="426" w:firstLine="0"/>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9">
      <w:pPr>
        <w:numPr>
          <w:ilvl w:val="0"/>
          <w:numId w:val="2"/>
        </w:numPr>
        <w:spacing w:after="0" w:line="360" w:lineRule="auto"/>
        <w:ind w:left="426" w:hanging="284"/>
        <w:jc w:val="both"/>
        <w:rPr>
          <w:rFonts w:ascii="Times New Roman" w:cs="Times New Roman" w:eastAsia="Times New Roman" w:hAnsi="Times New Roman"/>
          <w:b w:val="1"/>
          <w:u w:val="none"/>
        </w:rPr>
      </w:pPr>
      <w:r w:rsidDel="00000000" w:rsidR="00000000" w:rsidRPr="00000000">
        <w:rPr>
          <w:rFonts w:ascii="Times New Roman" w:cs="Times New Roman" w:eastAsia="Times New Roman" w:hAnsi="Times New Roman"/>
          <w:b w:val="1"/>
          <w:rtl w:val="0"/>
        </w:rPr>
        <w:t xml:space="preserve">Catatan atas Laporan Keuangan</w:t>
      </w:r>
    </w:p>
    <w:p w:rsidR="00000000" w:rsidDel="00000000" w:rsidP="00000000" w:rsidRDefault="00000000" w:rsidRPr="00000000" w14:paraId="0000003A">
      <w:pPr>
        <w:spacing w:after="0" w:lineRule="auto"/>
        <w:ind w:left="426"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Catatan atas Laporan Keuangan (CaLK), dimaksudkan agar pengguna laporan keuangan dapat memperoleh informasi tentang hal-hal yang termuat dalam laporan keuangan. Catatan atas Laporan Keuangan meliputi uraian tentang Kebijakan Fiskal, Kebijakan Akuntansi, dan Penjelasan Pos-pos Laporan Keuangan, Daftar Rincian atau Nilai Pos yang disajikan dalam Laporan Realisasi Anggaran, Neraca, Laporan Operasional, Laporan Perubahan Ekuitas, dan Catatan atas Laporan Keuangan.</w:t>
      </w:r>
    </w:p>
    <w:p w:rsidR="00000000" w:rsidDel="00000000" w:rsidP="00000000" w:rsidRDefault="00000000" w:rsidRPr="00000000" w14:paraId="0000003B">
      <w:pPr>
        <w:spacing w:after="0" w:line="360" w:lineRule="auto"/>
        <w:ind w:left="0" w:firstLine="0"/>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ab/>
        <w:t xml:space="preserve">`</w:t>
        <w:tab/>
      </w:r>
    </w:p>
    <w:p w:rsidR="00000000" w:rsidDel="00000000" w:rsidP="00000000" w:rsidRDefault="00000000" w:rsidRPr="00000000" w14:paraId="0000003C">
      <w:pPr>
        <w:spacing w:after="0" w:line="360" w:lineRule="auto"/>
        <w:ind w:left="0" w:firstLine="0"/>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3D">
      <w:pPr>
        <w:spacing w:after="0" w:lineRule="auto"/>
        <w:ind w:left="426" w:firstLine="0"/>
        <w:jc w:val="both"/>
        <w:rPr>
          <w:sz w:val="20"/>
          <w:szCs w:val="20"/>
        </w:rPr>
      </w:pPr>
      <w:r w:rsidDel="00000000" w:rsidR="00000000" w:rsidRPr="00000000">
        <w:rPr>
          <w:rtl w:val="0"/>
        </w:rPr>
      </w:r>
    </w:p>
    <w:p w:rsidR="00000000" w:rsidDel="00000000" w:rsidP="00000000" w:rsidRDefault="00000000" w:rsidRPr="00000000" w14:paraId="0000003E">
      <w:pPr>
        <w:spacing w:after="0" w:lineRule="auto"/>
        <w:ind w:left="426" w:firstLine="0"/>
        <w:jc w:val="both"/>
        <w:rPr>
          <w:rFonts w:ascii="Times New Roman" w:cs="Times New Roman" w:eastAsia="Times New Roman" w:hAnsi="Times New Roman"/>
          <w:b w:val="1"/>
        </w:rPr>
      </w:pPr>
      <w:r w:rsidDel="00000000" w:rsidR="00000000" w:rsidRPr="00000000">
        <w:rPr>
          <w:sz w:val="20"/>
          <w:szCs w:val="20"/>
          <w:rtl w:val="0"/>
        </w:rPr>
        <w:tab/>
        <w:tab/>
        <w:tab/>
        <w:tab/>
        <w:tab/>
        <w:tab/>
        <w:tab/>
        <w:tab/>
        <w:tab/>
      </w:r>
      <w:r w:rsidDel="00000000" w:rsidR="00000000" w:rsidRPr="00000000">
        <w:rPr>
          <w:rFonts w:ascii="Times New Roman" w:cs="Times New Roman" w:eastAsia="Times New Roman" w:hAnsi="Times New Roman"/>
          <w:b w:val="1"/>
          <w:rtl w:val="0"/>
        </w:rPr>
        <w:t xml:space="preserve">DINAS XXX</w:t>
      </w:r>
    </w:p>
    <w:p w:rsidR="00000000" w:rsidDel="00000000" w:rsidP="00000000" w:rsidRDefault="00000000" w:rsidRPr="00000000" w14:paraId="0000003F">
      <w:pPr>
        <w:spacing w:after="0" w:lineRule="auto"/>
        <w:ind w:left="426" w:firstLine="0"/>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40">
      <w:pPr>
        <w:spacing w:after="0" w:lineRule="auto"/>
        <w:ind w:left="426" w:firstLine="0"/>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41">
      <w:pPr>
        <w:spacing w:after="0" w:lineRule="auto"/>
        <w:ind w:left="426" w:firstLine="0"/>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42">
      <w:pPr>
        <w:spacing w:after="0" w:lineRule="auto"/>
        <w:ind w:left="426" w:firstLine="0"/>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43">
      <w:pPr>
        <w:spacing w:line="240" w:lineRule="auto"/>
        <w:ind w:left="6377.952755905511" w:firstLine="0"/>
        <w:jc w:val="lef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KEPALA DINAS</w:t>
      </w:r>
    </w:p>
    <w:sectPr>
      <w:type w:val="nextPage"/>
      <w:pgSz w:h="16838" w:w="11906" w:orient="portrait"/>
      <w:pgMar w:bottom="1440" w:top="1440" w:left="1440" w:right="144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 w:name="Georgia"/>
  <w:font w:name="Times New Roman"/>
  <w:font w:name="Arial Nova Cond"/>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rFonts w:ascii="Times New Roman" w:cs="Times New Roman" w:eastAsia="Times New Roman" w:hAnsi="Times New Roman"/>
        <w:sz w:val="22"/>
        <w:szCs w:val="22"/>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ID"/>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rFonts w:ascii="Arial" w:cs="Arial" w:eastAsia="Arial" w:hAnsi="Arial"/>
      <w:b w:val="1"/>
      <w:sz w:val="28"/>
      <w:szCs w:val="2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T+t64+h4vAH6OfEjnwzpMrF8M8A==">CgMxLjA4AHIhMVZERlpjamR2SUtVanhKenYwY2hSakFkU0JfaHE0WFNU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